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БЕЛГОРОДСКАЯ ОБЛАСТЬ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2"/>
        <w:jc w:val="center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ЧЕРНЯНСКИЙ РАЙОН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rPr>
          <w:rFonts w:ascii="Tinos" w:hAnsi="Tinos" w:cs="Tinos"/>
          <w:b/>
          <w:sz w:val="14"/>
          <w:szCs w:val="28"/>
        </w:rPr>
      </w:pPr>
      <w:r>
        <w:rPr>
          <w:rFonts w:ascii="Tinos" w:hAnsi="Tinos" w:eastAsia="Tinos" w:cs="Tinos"/>
          <w:b/>
          <w:sz w:val="14"/>
          <w:szCs w:val="28"/>
        </w:rPr>
      </w:r>
      <w:r>
        <w:rPr>
          <w:rFonts w:ascii="Tinos" w:hAnsi="Tinos" w:eastAsia="Tinos" w:cs="Tinos"/>
          <w:b/>
          <w:sz w:val="14"/>
          <w:szCs w:val="28"/>
        </w:rPr>
      </w:r>
      <w:r>
        <w:rPr>
          <w:rFonts w:ascii="Tinos" w:hAnsi="Tinos" w:cs="Tinos"/>
          <w:b/>
          <w:sz w:val="14"/>
          <w:szCs w:val="28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18895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2.60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4"/>
          <w:szCs w:val="24"/>
        </w:rPr>
        <w:t xml:space="preserve">АДМИНИСТРАЦИЯ МУНИЦИПАЛЬНОГО РАЙОНА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"ЧЕРНЯНСКИЙ РАЙОН" БЕЛГОРОДСКОЙ ОБЛАСТИ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2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jc w:val="center"/>
        <w:spacing w:line="276" w:lineRule="auto"/>
        <w:shd w:val="clear" w:color="auto" w:fill="ffffff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 О С Т А Н О В Л Е Н И Е</w:t>
      </w: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jc w:val="center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</w:p>
    <w:p>
      <w:pPr>
        <w:pStyle w:val="832"/>
        <w:jc w:val="center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  <w:t xml:space="preserve">с. Большо</w:t>
      </w:r>
      <w:r>
        <w:rPr>
          <w:rFonts w:ascii="Tinos" w:hAnsi="Tinos" w:eastAsia="Tinos" w:cs="Tinos"/>
          <w:b/>
          <w:sz w:val="22"/>
          <w:szCs w:val="22"/>
        </w:rPr>
        <w:t xml:space="preserve">е</w:t>
      </w: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</w:p>
    <w:p>
      <w:pPr>
        <w:pStyle w:val="841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32"/>
        <w:rPr>
          <w:rFonts w:ascii="Tinos" w:hAnsi="Tinos" w:cs="Tinos"/>
          <w:b/>
          <w:sz w:val="28"/>
          <w:szCs w:val="28"/>
          <w:highlight w:val="yellow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20 ноября 2024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г.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№ 43 </w:t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sz w:val="28"/>
          <w:szCs w:val="28"/>
          <w:highlight w:val="yellow"/>
        </w:rPr>
      </w:r>
    </w:p>
    <w:p>
      <w:pPr>
        <w:pStyle w:val="832"/>
        <w:jc w:val="both"/>
        <w:rPr>
          <w:rFonts w:ascii="Tinos" w:hAnsi="Tinos" w:cs="Tinos"/>
          <w:sz w:val="28"/>
          <w:szCs w:val="28"/>
          <w:highlight w:val="yellow"/>
        </w:rPr>
      </w:pPr>
      <w:r>
        <w:rPr>
          <w:rFonts w:ascii="Tinos" w:hAnsi="Tinos" w:eastAsia="Tinos" w:cs="Tinos"/>
          <w:sz w:val="28"/>
          <w:szCs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yellow"/>
        </w:rPr>
      </w:r>
      <w:r>
        <w:rPr>
          <w:rFonts w:ascii="Tinos" w:hAnsi="Tinos" w:cs="Tinos"/>
          <w:sz w:val="28"/>
          <w:szCs w:val="28"/>
          <w:highlight w:val="yellow"/>
        </w:rPr>
      </w:r>
    </w:p>
    <w:p>
      <w:pPr>
        <w:pStyle w:val="832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присвоении объекту адресации адреса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rFonts w:ascii="Tinos" w:hAnsi="Tinos" w:eastAsia="Tinos" w:cs="Tinos"/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rFonts w:ascii="Tinos" w:hAnsi="Tinos" w:eastAsia="Tinos" w:cs="Tinos"/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rFonts w:ascii="Tinos" w:hAnsi="Tinos" w:eastAsia="Tinos" w:cs="Tinos"/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rFonts w:ascii="Tinos" w:hAnsi="Tinos" w:eastAsia="Tinos" w:cs="Tinos"/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rFonts w:ascii="Tinos" w:hAnsi="Tinos" w:eastAsia="Tinos" w:cs="Tinos"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b/>
          <w:sz w:val="28"/>
          <w:szCs w:val="28"/>
        </w:rPr>
        <w:t xml:space="preserve">п о с т а н о в л я е т :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1. 1.1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21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31:08:0907003:43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1.2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23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31:08:0907003:45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1.3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9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31:08:0907003:48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1.4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5/2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31:08:0907003:50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1.5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5/1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31:08:0907003:51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1.6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6/2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31:08:0907003:52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1.7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6/1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31:08:0907003:53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1.8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4/2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31:08:0907003:54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1.9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4/1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31:08:0907003:55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1.10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17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31:08:0907003:60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    </w:t>
      </w:r>
      <w:r>
        <w:rPr>
          <w:rFonts w:ascii="Tinos" w:hAnsi="Tinos" w:eastAsia="Tinos" w:cs="Tinos"/>
          <w:sz w:val="28"/>
          <w:szCs w:val="28"/>
        </w:rPr>
        <w:t xml:space="preserve">1.11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19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31:08:0907003:70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1.12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7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31:08:0907003:71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    1.13 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Молодежная, земельный участок 25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31:08:0907003:8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/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highlight w:val="none"/>
        </w:rPr>
      </w:pPr>
      <w:r>
        <w:rPr>
          <w:szCs w:val="28"/>
        </w:rPr>
        <w:t xml:space="preserve">       </w:t>
      </w:r>
      <w:r>
        <w:rPr>
          <w:rFonts w:ascii="Tinos" w:hAnsi="Tinos" w:eastAsia="Tinos" w:cs="Tinos"/>
          <w:szCs w:val="28"/>
        </w:rPr>
        <w:t xml:space="preserve"> 2. </w:t>
      </w:r>
      <w:r>
        <w:rPr>
          <w:rFonts w:ascii="Tinos" w:hAnsi="Tinos" w:eastAsia="Tinos" w:cs="Tinos"/>
          <w:szCs w:val="28"/>
          <w:highlight w:val="none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</w:t>
      </w:r>
      <w:r>
        <w:rPr>
          <w:rFonts w:ascii="Tinos" w:hAnsi="Tinos" w:eastAsia="Tinos" w:cs="Tinos"/>
          <w:szCs w:val="28"/>
          <w:highlight w:val="none"/>
        </w:rPr>
        <w:t xml:space="preserve"> ( адрес сайта:</w:t>
      </w:r>
      <w:r>
        <w:rPr>
          <w:rFonts w:ascii="Tinos" w:hAnsi="Tinos" w:eastAsia="Tinos" w:cs="Tinos"/>
          <w:szCs w:val="28"/>
          <w:highlight w:val="none"/>
        </w:rPr>
        <w:t xml:space="preserve"> </w:t>
      </w:r>
      <w:r>
        <w:rPr>
          <w:rFonts w:ascii="Tinos" w:hAnsi="Tinos" w:eastAsia="Tinos" w:cs="Tinos"/>
          <w:szCs w:val="28"/>
          <w:highlight w:val="none"/>
          <w:lang w:val="en-US"/>
        </w:rPr>
      </w:r>
      <w:hyperlink r:id="rId9" w:tooltip="http://bolsoe" w:history="1">
        <w:r>
          <w:rPr>
            <w:rStyle w:val="814"/>
            <w:rFonts w:ascii="Tinos" w:hAnsi="Tinos" w:eastAsia="Tinos" w:cs="Tinos"/>
            <w:szCs w:val="28"/>
            <w:highlight w:val="none"/>
            <w:lang w:val="en-US"/>
          </w:rPr>
          <w:t xml:space="preserve">http</w:t>
        </w:r>
        <w:r>
          <w:rPr>
            <w:rStyle w:val="814"/>
            <w:rFonts w:ascii="Tinos" w:hAnsi="Tinos" w:eastAsia="Tinos" w:cs="Tinos"/>
            <w:szCs w:val="28"/>
            <w:highlight w:val="none"/>
          </w:rPr>
          <w:t xml:space="preserve">://</w:t>
        </w:r>
        <w:r>
          <w:rPr>
            <w:rStyle w:val="814"/>
            <w:rFonts w:ascii="Tinos" w:hAnsi="Tinos" w:eastAsia="Tinos" w:cs="Tinos"/>
            <w:szCs w:val="28"/>
            <w:highlight w:val="none"/>
          </w:rPr>
          <w:t xml:space="preserve">bolsoe</w:t>
        </w:r>
      </w:hyperlink>
      <w:r>
        <w:rPr>
          <w:rFonts w:ascii="Tinos" w:hAnsi="Tinos" w:eastAsia="Tinos" w:cs="Tinos"/>
          <w:szCs w:val="28"/>
          <w:highlight w:val="none"/>
        </w:rPr>
        <w:t xml:space="preserve">-r31.gosweb.gosuslugi.ru</w:t>
      </w:r>
      <w:r>
        <w:rPr>
          <w:rFonts w:ascii="Tinos" w:hAnsi="Tinos" w:eastAsia="Tinos" w:cs="Tinos"/>
          <w:szCs w:val="28"/>
          <w:highlight w:val="none"/>
        </w:rPr>
        <w:t xml:space="preserve">)</w:t>
      </w:r>
      <w:r>
        <w:rPr>
          <w:rFonts w:ascii="Tinos" w:hAnsi="Tinos" w:eastAsia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</w:rPr>
      </w:pPr>
      <w:r>
        <w:rPr>
          <w:rFonts w:ascii="Tinos" w:hAnsi="Tinos" w:eastAsia="Tinos" w:cs="Tinos"/>
          <w:szCs w:val="28"/>
        </w:rPr>
        <w:t xml:space="preserve">        3. Контроль  </w:t>
      </w:r>
      <w:r>
        <w:rPr>
          <w:rFonts w:ascii="Tinos" w:hAnsi="Tinos" w:eastAsia="Tinos" w:cs="Tinos"/>
          <w:szCs w:val="28"/>
        </w:rPr>
        <w:t xml:space="preserve">за исполнением</w:t>
      </w:r>
      <w:r>
        <w:rPr>
          <w:rFonts w:ascii="Tinos" w:hAnsi="Tinos" w:eastAsia="Tinos" w:cs="Tinos"/>
          <w:szCs w:val="28"/>
        </w:rPr>
        <w:t xml:space="preserve"> постановления оставляю за собой.</w:t>
      </w: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eastAsia="Tinos" w:cs="Tinos"/>
        </w:rPr>
      </w:r>
    </w:p>
    <w:p>
      <w:pPr>
        <w:pStyle w:val="838"/>
        <w:spacing w:line="240" w:lineRule="auto"/>
        <w:rPr>
          <w:rFonts w:ascii="Tinos" w:hAnsi="Tinos" w:cs="Tinos"/>
          <w:b/>
          <w:bCs/>
          <w:highlight w:val="none"/>
        </w:rPr>
      </w:pP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cs="Tinos"/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b/>
          <w:bCs/>
          <w:highlight w:val="none"/>
        </w:rPr>
      </w:pPr>
      <w:r>
        <w:rPr>
          <w:b/>
        </w:rPr>
        <w:t xml:space="preserve">           Г</w:t>
      </w:r>
      <w:r>
        <w:rPr>
          <w:rFonts w:ascii="Tinos" w:hAnsi="Tinos" w:eastAsia="Tinos" w:cs="Tinos"/>
          <w:b/>
        </w:rPr>
        <w:t xml:space="preserve">лава </w:t>
      </w:r>
      <w:r>
        <w:rPr>
          <w:rFonts w:ascii="Tinos" w:hAnsi="Tinos" w:eastAsia="Tinos" w:cs="Tinos"/>
          <w:b/>
          <w:szCs w:val="28"/>
        </w:rPr>
        <w:t xml:space="preserve">администрации </w:t>
      </w:r>
      <w:r>
        <w:rPr>
          <w:rFonts w:ascii="Tinos" w:hAnsi="Tinos" w:eastAsia="Tinos" w:cs="Tinos"/>
          <w:b/>
          <w:bCs/>
          <w:highlight w:val="none"/>
        </w:rPr>
      </w:r>
      <w:r>
        <w:rPr>
          <w:rFonts w:ascii="Tinos" w:hAnsi="Tinos" w:cs="Tinos"/>
          <w:b/>
          <w:bCs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b/>
          <w:szCs w:val="28"/>
        </w:rPr>
      </w:pPr>
      <w:r>
        <w:rPr>
          <w:rFonts w:ascii="Tinos" w:hAnsi="Tinos" w:eastAsia="Tinos" w:cs="Tinos"/>
          <w:b/>
          <w:szCs w:val="28"/>
        </w:rPr>
        <w:t xml:space="preserve">Большанского  с</w:t>
      </w:r>
      <w:r>
        <w:rPr>
          <w:rFonts w:ascii="Tinos" w:hAnsi="Tinos" w:eastAsia="Tinos" w:cs="Tinos"/>
          <w:b/>
          <w:szCs w:val="28"/>
        </w:rPr>
        <w:t xml:space="preserve">ельского </w:t>
      </w:r>
      <w:r>
        <w:rPr>
          <w:rFonts w:ascii="Tinos" w:hAnsi="Tinos" w:eastAsia="Tinos" w:cs="Tinos"/>
          <w:b/>
          <w:szCs w:val="28"/>
        </w:rPr>
        <w:t xml:space="preserve">поселения        </w:t>
      </w:r>
      <w:r>
        <w:rPr>
          <w:rFonts w:ascii="Tinos" w:hAnsi="Tinos" w:eastAsia="Tinos" w:cs="Tinos"/>
          <w:b/>
          <w:szCs w:val="28"/>
        </w:rPr>
        <w:t xml:space="preserve">                   </w:t>
      </w:r>
      <w:r>
        <w:rPr>
          <w:rFonts w:ascii="Tinos" w:hAnsi="Tinos" w:eastAsia="Tinos" w:cs="Tinos"/>
          <w:b/>
          <w:szCs w:val="28"/>
        </w:rPr>
        <w:t xml:space="preserve">     </w:t>
      </w:r>
      <w:r>
        <w:rPr>
          <w:rFonts w:ascii="Tinos" w:hAnsi="Tinos" w:eastAsia="Tinos" w:cs="Tinos"/>
          <w:b/>
          <w:szCs w:val="28"/>
        </w:rPr>
        <w:t xml:space="preserve">И.В.Гребенникова</w:t>
      </w:r>
      <w:r>
        <w:rPr>
          <w:rFonts w:ascii="Tinos" w:hAnsi="Tinos" w:eastAsia="Tinos" w:cs="Tinos"/>
          <w:b/>
          <w:szCs w:val="28"/>
        </w:rPr>
      </w:r>
      <w:r>
        <w:rPr>
          <w:rFonts w:ascii="Tinos" w:hAnsi="Tinos" w:cs="Tinos"/>
          <w:b/>
          <w:szCs w:val="28"/>
        </w:rPr>
      </w:r>
    </w:p>
    <w:p>
      <w:pPr>
        <w:pStyle w:val="838"/>
        <w:spacing w:line="240" w:lineRule="auto"/>
        <w:rPr>
          <w:rFonts w:ascii="Tinos" w:hAnsi="Tinos" w:cs="Tinos"/>
          <w:b/>
          <w:szCs w:val="28"/>
        </w:rPr>
      </w:pPr>
      <w:r>
        <w:rPr>
          <w:rFonts w:ascii="Tinos" w:hAnsi="Tinos" w:eastAsia="Tinos" w:cs="Tinos"/>
          <w:b/>
          <w:szCs w:val="28"/>
        </w:rPr>
      </w:r>
      <w:r>
        <w:rPr>
          <w:rFonts w:ascii="Tinos" w:hAnsi="Tinos" w:eastAsia="Tinos" w:cs="Tinos"/>
          <w:b/>
          <w:szCs w:val="28"/>
        </w:rPr>
      </w:r>
      <w:r>
        <w:rPr>
          <w:rFonts w:ascii="Tinos" w:hAnsi="Tinos" w:cs="Tinos"/>
          <w:b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111</cp:revision>
  <dcterms:created xsi:type="dcterms:W3CDTF">2016-09-12T08:04:00Z</dcterms:created>
  <dcterms:modified xsi:type="dcterms:W3CDTF">2024-11-20T12:04:47Z</dcterms:modified>
  <cp:version>1048576</cp:version>
</cp:coreProperties>
</file>