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7DB" w:rsidRDefault="00D36D33">
      <w:r w:rsidRPr="00D36D33">
        <w:drawing>
          <wp:inline distT="0" distB="0" distL="0" distR="0">
            <wp:extent cx="5940425" cy="7734386"/>
            <wp:effectExtent l="19050" t="0" r="3175" b="0"/>
            <wp:docPr id="1" name="Объект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858000" cy="8928992"/>
                      <a:chOff x="0" y="0"/>
                      <a:chExt cx="6858000" cy="8928992"/>
                    </a:xfrm>
                  </a:grpSpPr>
                  <a:sp>
                    <a:nvSpPr>
                      <a:cNvPr id="4" name="Объект 3"/>
                      <a:cNvSpPr>
                        <a:spLocks noGrp="1"/>
                      </a:cNvSpPr>
                    </a:nvSpPr>
                    <a:spPr>
                      <a:xfrm>
                        <a:off x="0" y="0"/>
                        <a:ext cx="6858000" cy="8928992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336600"/>
                          </a:gs>
                          <a:gs pos="99218">
                            <a:srgbClr val="336600"/>
                          </a:gs>
                          <a:gs pos="98437">
                            <a:srgbClr val="F6BEB7"/>
                          </a:gs>
                          <a:gs pos="96875">
                            <a:srgbClr val="F3BDB4"/>
                          </a:gs>
                          <a:gs pos="93750">
                            <a:srgbClr val="EDBAAE"/>
                          </a:gs>
                          <a:gs pos="87500">
                            <a:srgbClr val="E1B4A2"/>
                          </a:gs>
                          <a:gs pos="75000">
                            <a:srgbClr val="C8A98B"/>
                          </a:gs>
                          <a:gs pos="50000">
                            <a:srgbClr val="96935D"/>
                          </a:gs>
                          <a:gs pos="100000">
                            <a:schemeClr val="accent1">
                              <a:tint val="44500"/>
                              <a:satMod val="160000"/>
                            </a:schemeClr>
                          </a:gs>
                          <a:gs pos="100000">
                            <a:schemeClr val="accent1">
                              <a:tint val="23500"/>
                              <a:satMod val="160000"/>
                            </a:schemeClr>
                          </a:gs>
                        </a:gsLst>
                        <a:lin ang="2700000" scaled="1"/>
                        <a:tileRect/>
                      </a:gradFill>
                    </a:spPr>
                    <a:txSp>
                      <a:txBody>
                        <a:bodyPr vert="horz">
                          <a:normAutofit/>
                        </a:bodyPr>
                        <a:lstStyle>
                          <a:lvl1pPr marL="274320" indent="-274320" algn="l" rtl="0" eaLnBrk="1" latinLnBrk="0" hangingPunct="1">
                            <a:spcBef>
                              <a:spcPts val="580"/>
                            </a:spcBef>
                            <a:buClr>
                              <a:schemeClr val="accent1"/>
                            </a:buClr>
                            <a:buSzPct val="85000"/>
                            <a:buFont typeface="Wingdings 2"/>
                            <a:buChar char=""/>
                            <a:defRPr kumimoji="0" sz="26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548640" indent="-228600" algn="l" rtl="0" eaLnBrk="1" latinLnBrk="0" hangingPunct="1">
                            <a:spcBef>
                              <a:spcPts val="370"/>
                            </a:spcBef>
                            <a:buClr>
                              <a:schemeClr val="accent2"/>
                            </a:buClr>
                            <a:buSzPct val="85000"/>
                            <a:buFont typeface="Wingdings 2"/>
                            <a:buChar char=""/>
                            <a:defRPr kumimoji="0" sz="24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822960" indent="-228600" algn="l" rtl="0" eaLnBrk="1" latinLnBrk="0" hangingPunct="1">
                            <a:spcBef>
                              <a:spcPts val="370"/>
                            </a:spcBef>
                            <a:buClr>
                              <a:schemeClr val="accent1">
                                <a:tint val="60000"/>
                              </a:schemeClr>
                            </a:buClr>
                            <a:buSzPct val="85000"/>
                            <a:buFont typeface="Wingdings 2"/>
                            <a:buChar char=""/>
                            <a:defRPr kumimoji="0" sz="20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097280" indent="-228600" algn="l" rtl="0" eaLnBrk="1" latinLnBrk="0" hangingPunct="1">
                            <a:spcBef>
                              <a:spcPts val="370"/>
                            </a:spcBef>
                            <a:buClr>
                              <a:schemeClr val="accent3"/>
                            </a:buClr>
                            <a:buSzPct val="80000"/>
                            <a:buFont typeface="Wingdings 2"/>
                            <a:buChar char=""/>
                            <a:defRPr kumimoji="0" sz="20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371600" indent="-228600" algn="l" rtl="0" eaLnBrk="1" latinLnBrk="0" hangingPunct="1">
                            <a:spcBef>
                              <a:spcPts val="370"/>
                            </a:spcBef>
                            <a:buClr>
                              <a:schemeClr val="accent3"/>
                            </a:buClr>
                            <a:buFontTx/>
                            <a:buChar char="o"/>
                            <a:defRPr kumimoji="0" sz="20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1645920" indent="-228600" algn="l" rtl="0" eaLnBrk="1" latinLnBrk="0" hangingPunct="1">
                            <a:spcBef>
                              <a:spcPts val="370"/>
                            </a:spcBef>
                            <a:buClr>
                              <a:schemeClr val="accent3"/>
                            </a:buClr>
                            <a:buChar char="•"/>
                            <a:defRPr kumimoji="0" sz="1800" kern="1200" baseline="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1920240" indent="-228600" algn="l" rtl="0" eaLnBrk="1" latinLnBrk="0" hangingPunct="1">
                            <a:spcBef>
                              <a:spcPts val="370"/>
                            </a:spcBef>
                            <a:buClr>
                              <a:schemeClr val="accent2"/>
                            </a:buClr>
                            <a:buChar char="•"/>
                            <a:defRPr kumimoji="0"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2194560" indent="-228600" algn="l" rtl="0" eaLnBrk="1" latinLnBrk="0" hangingPunct="1">
                            <a:spcBef>
                              <a:spcPts val="370"/>
                            </a:spcBef>
                            <a:buClr>
                              <a:schemeClr val="accent1">
                                <a:tint val="60000"/>
                              </a:schemeClr>
                            </a:buClr>
                            <a:buChar char="•"/>
                            <a:defRPr kumimoji="0"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2468880" indent="-228600" algn="l" rtl="0" eaLnBrk="1" latinLnBrk="0" hangingPunct="1">
                            <a:spcBef>
                              <a:spcPts val="370"/>
                            </a:spcBef>
                            <a:buClr>
                              <a:schemeClr val="accent2">
                                <a:tint val="60000"/>
                              </a:schemeClr>
                            </a:buClr>
                            <a:buChar char="•"/>
                            <a:defRPr kumimoji="0"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marL="0" indent="0">
                            <a:buNone/>
                          </a:pPr>
                          <a:endParaRPr lang="ru-RU" dirty="0" smtClean="0"/>
                        </a:p>
                        <a:p>
                          <a:pPr marL="0" indent="0">
                            <a:buNone/>
                          </a:pPr>
                          <a:endParaRPr lang="ru-RU" dirty="0"/>
                        </a:p>
                        <a:p>
                          <a:pPr marL="0" indent="0">
                            <a:buNone/>
                          </a:pPr>
                          <a:endParaRPr lang="ru-RU" dirty="0" smtClean="0"/>
                        </a:p>
                        <a:p>
                          <a:pPr marL="0" indent="0">
                            <a:buNone/>
                          </a:pPr>
                          <a:endParaRPr lang="ru-RU" dirty="0"/>
                        </a:p>
                        <a:p>
                          <a:pPr marL="0" indent="0">
                            <a:buNone/>
                          </a:pPr>
                          <a:endParaRPr lang="ru-RU" dirty="0" smtClean="0"/>
                        </a:p>
                        <a:p>
                          <a:pPr marL="0" indent="0">
                            <a:buNone/>
                          </a:pPr>
                          <a:endParaRPr lang="ru-RU" dirty="0"/>
                        </a:p>
                        <a:p>
                          <a:pPr marL="0" indent="0" algn="ctr">
                            <a:buNone/>
                          </a:pPr>
                          <a:r>
                            <a:rPr lang="ru-RU" sz="3200" b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БЮДЖЕТ ДЛЯ ГРАЖДАН</a:t>
                          </a:r>
                        </a:p>
                        <a:p>
                          <a:pPr marL="0" indent="0" algn="ctr">
                            <a:buNone/>
                          </a:pPr>
                          <a:endParaRPr lang="ru-RU" b="1" dirty="0" smtClean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  <a:p>
                          <a:pPr marL="0" indent="0" algn="ctr">
                            <a:buNone/>
                          </a:pPr>
                          <a:r>
                            <a:rPr lang="ru-RU" b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 БОЛЬШАНСКОГО СЕЛЬСКОГО ПОСЕЛЕНИЯ НА 202</a:t>
                          </a:r>
                          <a:r>
                            <a:rPr lang="en-US" b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1</a:t>
                          </a:r>
                          <a:r>
                            <a:rPr lang="ru-RU" b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 -202</a:t>
                          </a:r>
                          <a:r>
                            <a:rPr lang="en-US" b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3</a:t>
                          </a:r>
                          <a:r>
                            <a:rPr lang="ru-RU" b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 ГОДЫ</a:t>
                          </a:r>
                          <a:endParaRPr lang="ru-RU" b="1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  <a:p>
                          <a:pPr marL="0" indent="0" algn="ctr">
                            <a:buNone/>
                          </a:pPr>
                          <a:endParaRPr lang="ru-RU" b="1" dirty="0" smtClean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  <a:p>
                          <a:pPr marL="0" indent="0" algn="ctr">
                            <a:buNone/>
                          </a:pPr>
                          <a:endParaRPr lang="ru-RU" sz="2000" b="1" dirty="0" smtClean="0">
                            <a:solidFill>
                              <a:schemeClr val="accent2">
                                <a:lumMod val="50000"/>
                              </a:schemeClr>
                            </a:solidFill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  <a:p>
                          <a:pPr marL="0" indent="0" algn="ctr">
                            <a:buNone/>
                          </a:pPr>
                          <a:r>
                            <a:rPr lang="ru-RU" sz="2000" b="1" dirty="0" smtClean="0">
                              <a:solidFill>
                                <a:schemeClr val="accent2">
                                  <a:lumMod val="50000"/>
                                </a:schemeClr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  <a:t>АДМИНИСТРАЦИЯ БОЛЬШАНСКОГО </a:t>
                          </a:r>
                        </a:p>
                        <a:p>
                          <a:pPr marL="0" indent="0" algn="ctr">
                            <a:buNone/>
                          </a:pPr>
                          <a:r>
                            <a:rPr lang="ru-RU" sz="2000" b="1" dirty="0" smtClean="0">
                              <a:solidFill>
                                <a:schemeClr val="accent2">
                                  <a:lumMod val="50000"/>
                                </a:schemeClr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  <a:t>СЕЛЬСКОГО ПОСЕЛЕНИЯ МУНИЦИПАЛЬНОГО РАЙОНА «ЧЕРНЯНСКИЙ РАЙОН» </a:t>
                          </a:r>
                        </a:p>
                        <a:p>
                          <a:pPr marL="0" indent="0" algn="ctr">
                            <a:buNone/>
                          </a:pPr>
                          <a:r>
                            <a:rPr lang="ru-RU" sz="2000" b="1" dirty="0" smtClean="0">
                              <a:solidFill>
                                <a:schemeClr val="accent2">
                                  <a:lumMod val="50000"/>
                                </a:schemeClr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  <a:t>БЕЛГОРОДСКОЙ ОБЛАСТИ</a:t>
                          </a:r>
                        </a:p>
                        <a:p>
                          <a:pPr marL="0" indent="0" algn="ctr">
                            <a:buNone/>
                          </a:pPr>
                          <a:endParaRPr lang="ru-RU" dirty="0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D36D33" w:rsidRDefault="00D36D33"/>
    <w:p w:rsidR="00D36D33" w:rsidRDefault="00D36D33"/>
    <w:p w:rsidR="00D36D33" w:rsidRDefault="00D36D33"/>
    <w:p w:rsidR="00D36D33" w:rsidRDefault="00D36D33"/>
    <w:p w:rsidR="00D36D33" w:rsidRDefault="00D36D33"/>
    <w:p w:rsidR="00D36D33" w:rsidRPr="00D36D33" w:rsidRDefault="00D36D33" w:rsidP="00D36D33">
      <w:r w:rsidRPr="00D36D33">
        <w:rPr>
          <w:b/>
          <w:bCs/>
        </w:rPr>
        <w:t>ОСНОВНЫЕ ПОНЯТИЯ И ТЕРМИНЫ</w:t>
      </w:r>
    </w:p>
    <w:p w:rsidR="00D36D33" w:rsidRPr="00D36D33" w:rsidRDefault="00D36D33" w:rsidP="00D36D33">
      <w:r w:rsidRPr="00D36D33">
        <w:rPr>
          <w:b/>
          <w:bCs/>
          <w:i/>
          <w:iCs/>
        </w:rPr>
        <w:t xml:space="preserve">Администратор доходов бюджета </w:t>
      </w:r>
      <w:r w:rsidRPr="00D36D33">
        <w:rPr>
          <w:b/>
          <w:bCs/>
        </w:rPr>
        <w:t xml:space="preserve">– </w:t>
      </w:r>
      <w:r w:rsidRPr="00D36D33">
        <w:t>государственный орган, орган местного самоуправления, орган управления государственным внебюджетным фондом, которые:</w:t>
      </w:r>
    </w:p>
    <w:p w:rsidR="00000000" w:rsidRPr="00D36D33" w:rsidRDefault="007A1BC4" w:rsidP="00D36D33">
      <w:pPr>
        <w:numPr>
          <w:ilvl w:val="0"/>
          <w:numId w:val="1"/>
        </w:numPr>
      </w:pPr>
      <w:r w:rsidRPr="00D36D33">
        <w:t xml:space="preserve">осуществляют </w:t>
      </w:r>
      <w:r w:rsidRPr="00D36D33">
        <w:t xml:space="preserve">начисление, учет и </w:t>
      </w:r>
      <w:proofErr w:type="gramStart"/>
      <w:r w:rsidRPr="00D36D33">
        <w:t>контроль за</w:t>
      </w:r>
      <w:proofErr w:type="gramEnd"/>
      <w:r w:rsidRPr="00D36D33">
        <w:t xml:space="preserve"> правильностью начисления платежей, за своевременностью поступления платежей, которые являются доходами бюджетов;</w:t>
      </w:r>
    </w:p>
    <w:p w:rsidR="00000000" w:rsidRPr="00D36D33" w:rsidRDefault="007A1BC4" w:rsidP="00D36D33">
      <w:pPr>
        <w:numPr>
          <w:ilvl w:val="0"/>
          <w:numId w:val="1"/>
        </w:numPr>
      </w:pPr>
      <w:r w:rsidRPr="00D36D33">
        <w:t xml:space="preserve"> взыскивают образовавшуюся задолженность.</w:t>
      </w:r>
    </w:p>
    <w:p w:rsidR="00D36D33" w:rsidRPr="00D36D33" w:rsidRDefault="00D36D33" w:rsidP="00D36D33">
      <w:r w:rsidRPr="00D36D33">
        <w:tab/>
      </w:r>
      <w:r w:rsidRPr="00D36D33">
        <w:rPr>
          <w:i/>
          <w:iCs/>
        </w:rPr>
        <w:t>Например, администрированием налогов занимаются налоговые органы.</w:t>
      </w:r>
    </w:p>
    <w:p w:rsidR="00D36D33" w:rsidRDefault="00D36D33" w:rsidP="00D36D33">
      <w:r w:rsidRPr="00D36D33">
        <w:rPr>
          <w:b/>
          <w:bCs/>
          <w:i/>
          <w:iCs/>
        </w:rPr>
        <w:t xml:space="preserve">Администратор источников финансирования дефицита бюджета </w:t>
      </w:r>
      <w:r w:rsidRPr="00D36D33">
        <w:rPr>
          <w:b/>
          <w:bCs/>
        </w:rPr>
        <w:t xml:space="preserve">– </w:t>
      </w:r>
      <w:r w:rsidRPr="00D36D33">
        <w:t xml:space="preserve">орган государственной власти, орган местного самоуправления, имеющие право осуществлять операции с источниками финансирования дефицита бюджета. </w:t>
      </w:r>
    </w:p>
    <w:p w:rsidR="00D36D33" w:rsidRDefault="00D36D33" w:rsidP="00D36D33"/>
    <w:p w:rsidR="00D36D33" w:rsidRDefault="00D36D33" w:rsidP="00D36D33"/>
    <w:p w:rsidR="00D36D33" w:rsidRPr="00D36D33" w:rsidRDefault="00D36D33" w:rsidP="00D36D33">
      <w:r w:rsidRPr="00D36D33">
        <w:rPr>
          <w:b/>
          <w:bCs/>
          <w:i/>
          <w:iCs/>
        </w:rPr>
        <w:t xml:space="preserve">Безвозмездные поступления </w:t>
      </w:r>
      <w:r w:rsidRPr="00D36D33">
        <w:t>– средства,</w:t>
      </w:r>
    </w:p>
    <w:p w:rsidR="00D36D33" w:rsidRPr="00D36D33" w:rsidRDefault="00D36D33" w:rsidP="00D36D33">
      <w:r w:rsidRPr="00D36D33">
        <w:t xml:space="preserve">   поступающие в бюджет от других бюджетов в форме дотаций, субсидий, субвенций и иных межбюджетных трансфертов, а также от физических и юридических лиц на безвозмездной основе, в том числе добровольные пожертвования.</w:t>
      </w:r>
    </w:p>
    <w:p w:rsidR="00D36D33" w:rsidRPr="00D36D33" w:rsidRDefault="00D36D33" w:rsidP="00D36D33">
      <w:r w:rsidRPr="00D36D33">
        <w:rPr>
          <w:b/>
          <w:bCs/>
          <w:i/>
          <w:iCs/>
        </w:rPr>
        <w:t>Бюджет</w:t>
      </w:r>
      <w:r w:rsidRPr="00D36D33">
        <w:t xml:space="preserve"> – финансовые плановые доходы и расходы на определенный период для обеспечения задач и функций государства и местного самоуправления.</w:t>
      </w:r>
    </w:p>
    <w:p w:rsidR="00D36D33" w:rsidRDefault="00D36D33" w:rsidP="00D36D33">
      <w:r w:rsidRPr="00D36D33">
        <w:rPr>
          <w:b/>
          <w:bCs/>
          <w:i/>
          <w:iCs/>
        </w:rPr>
        <w:t xml:space="preserve">Бюджетная классификация </w:t>
      </w:r>
      <w:r w:rsidRPr="00D36D33">
        <w:t xml:space="preserve">– группировка доходов, расходов и источников финансирования дефицитов бюджетов по различным направлениям, применяемая при составлении, исполнении бюджетов и формирования источников. </w:t>
      </w:r>
    </w:p>
    <w:p w:rsidR="00D36D33" w:rsidRDefault="00D36D33" w:rsidP="00D36D33"/>
    <w:p w:rsidR="00D36D33" w:rsidRPr="00D36D33" w:rsidRDefault="00D36D33" w:rsidP="00D36D33">
      <w:r w:rsidRPr="00D36D33">
        <w:rPr>
          <w:b/>
          <w:bCs/>
          <w:i/>
          <w:iCs/>
        </w:rPr>
        <w:t xml:space="preserve">Бюджетная роспись </w:t>
      </w:r>
      <w:r w:rsidRPr="00D36D33">
        <w:t>– документ, который составляется и ведется главным распорядителем бюджетных средств и главным администратором источников финансирования дефицита бюджета в целях исполнения бюджета по расходам и источникам финансирования дефицита бюджета.</w:t>
      </w:r>
    </w:p>
    <w:p w:rsidR="00D36D33" w:rsidRPr="00D36D33" w:rsidRDefault="00D36D33" w:rsidP="00D36D33">
      <w:r w:rsidRPr="00D36D33">
        <w:rPr>
          <w:b/>
          <w:bCs/>
          <w:i/>
          <w:iCs/>
        </w:rPr>
        <w:t xml:space="preserve">Бюджетные ассигнования </w:t>
      </w:r>
      <w:r w:rsidRPr="00D36D33">
        <w:t>– денежные средства, предусмотренные законом (решением) о бюджете, направленные на различные виды расходов.</w:t>
      </w:r>
    </w:p>
    <w:p w:rsidR="00D36D33" w:rsidRPr="00D36D33" w:rsidRDefault="00D36D33" w:rsidP="00D36D33">
      <w:r w:rsidRPr="00D36D33">
        <w:rPr>
          <w:b/>
          <w:bCs/>
          <w:i/>
          <w:iCs/>
        </w:rPr>
        <w:t xml:space="preserve">Бюджетные обязательства </w:t>
      </w:r>
      <w:r w:rsidRPr="00D36D33">
        <w:t>– обязательства, предусмотренные законом (решением) о бюджете, подлежащие исполнению в соответствующем финансовом году.</w:t>
      </w:r>
    </w:p>
    <w:p w:rsidR="00D36D33" w:rsidRDefault="00D36D33" w:rsidP="00D36D33"/>
    <w:p w:rsidR="00D36D33" w:rsidRDefault="00D36D33" w:rsidP="00D36D33"/>
    <w:p w:rsidR="00D36D33" w:rsidRDefault="00D36D33" w:rsidP="00D36D33"/>
    <w:p w:rsidR="00D36D33" w:rsidRDefault="00D36D33" w:rsidP="00D36D33"/>
    <w:p w:rsidR="00D36D33" w:rsidRDefault="00D36D33" w:rsidP="00D36D33"/>
    <w:p w:rsidR="00D36D33" w:rsidRPr="00D36D33" w:rsidRDefault="00D36D33" w:rsidP="00D36D33">
      <w:r w:rsidRPr="00D36D33">
        <w:rPr>
          <w:b/>
          <w:bCs/>
          <w:i/>
          <w:iCs/>
        </w:rPr>
        <w:t xml:space="preserve">Бюджетный кредит </w:t>
      </w:r>
      <w:r w:rsidRPr="00D36D33">
        <w:t>– денежные средства, предоставляемые одним бюджетом другому бюджету или юридическому лицу на определенный срок на возвратной и платной основах.</w:t>
      </w:r>
    </w:p>
    <w:p w:rsidR="00D36D33" w:rsidRPr="00D36D33" w:rsidRDefault="00D36D33" w:rsidP="00D36D33">
      <w:r w:rsidRPr="00D36D33">
        <w:rPr>
          <w:b/>
          <w:bCs/>
          <w:i/>
          <w:iCs/>
        </w:rPr>
        <w:t xml:space="preserve">Главный распорядитель бюджетных средств </w:t>
      </w:r>
      <w:r w:rsidRPr="00D36D33">
        <w:t xml:space="preserve">– орган государственной власти или орган местного самоуправления, имеющие право распределять бюджетные ассигнования между </w:t>
      </w:r>
      <w:proofErr w:type="gramStart"/>
      <w:r w:rsidRPr="00D36D33">
        <w:t>подведомственными</w:t>
      </w:r>
      <w:proofErr w:type="gramEnd"/>
      <w:r w:rsidRPr="00D36D33">
        <w:t xml:space="preserve"> получателям бюджетных средств.</w:t>
      </w:r>
    </w:p>
    <w:p w:rsidR="00D36D33" w:rsidRPr="00D36D33" w:rsidRDefault="00D36D33" w:rsidP="00D36D33">
      <w:r w:rsidRPr="00D36D33">
        <w:rPr>
          <w:b/>
          <w:bCs/>
          <w:i/>
          <w:iCs/>
        </w:rPr>
        <w:t xml:space="preserve">Муниципальный долг </w:t>
      </w:r>
      <w:r w:rsidRPr="00D36D33">
        <w:t>– обязательства, возникшие в связи с размещением муниципальных ценных бумаг района, привлечением кредитов в кредитных организациях, получением бюджетных кредитов от других бюджетов и предоставлением муниципальных гарантий.</w:t>
      </w:r>
    </w:p>
    <w:p w:rsidR="00D36D33" w:rsidRPr="00D36D33" w:rsidRDefault="00D36D33" w:rsidP="00D36D33">
      <w:r w:rsidRPr="00D36D33">
        <w:rPr>
          <w:b/>
          <w:bCs/>
          <w:i/>
          <w:iCs/>
        </w:rPr>
        <w:t xml:space="preserve">Дефицит бюджета </w:t>
      </w:r>
      <w:r w:rsidRPr="00D36D33">
        <w:t>– сумма, на которую расходы бюджета превышают доходы бюджета в определенный период.</w:t>
      </w:r>
    </w:p>
    <w:p w:rsidR="00D36D33" w:rsidRPr="00D36D33" w:rsidRDefault="00D36D33" w:rsidP="00D36D33">
      <w:r w:rsidRPr="00D36D33">
        <w:rPr>
          <w:b/>
          <w:bCs/>
          <w:i/>
          <w:iCs/>
        </w:rPr>
        <w:t xml:space="preserve">Доходы бюджета </w:t>
      </w:r>
      <w:r w:rsidRPr="00D36D33">
        <w:t>– уплаченные физическими и юридическими лицами налоги, рентные платежи, штрафы и средства финансовой помощи из других бюджетов, безвозмездные поступления от юридических лиц.</w:t>
      </w:r>
    </w:p>
    <w:p w:rsidR="00D36D33" w:rsidRDefault="00D36D33" w:rsidP="00D36D33"/>
    <w:p w:rsidR="00D36D33" w:rsidRDefault="00D36D33" w:rsidP="00D36D33"/>
    <w:p w:rsidR="00D36D33" w:rsidRDefault="00D36D33" w:rsidP="00D36D33"/>
    <w:p w:rsidR="00D36D33" w:rsidRPr="00D36D33" w:rsidRDefault="00D36D33" w:rsidP="00D36D33">
      <w:proofErr w:type="gramStart"/>
      <w:r w:rsidRPr="00D36D33">
        <w:rPr>
          <w:b/>
          <w:bCs/>
          <w:i/>
          <w:iCs/>
        </w:rPr>
        <w:t xml:space="preserve">Межбюджетные трансферты </w:t>
      </w:r>
      <w:r w:rsidRPr="00D36D33">
        <w:t>– средства финансовой помощи (субсидии, дотации, субвенции и иные межбюджетные  трансферты), передаваемые одним бюджетом другому бюджету на безвозмездной и безвозвратной основах.</w:t>
      </w:r>
      <w:proofErr w:type="gramEnd"/>
    </w:p>
    <w:p w:rsidR="00D36D33" w:rsidRPr="00D36D33" w:rsidRDefault="00D36D33" w:rsidP="00D36D33">
      <w:r w:rsidRPr="00D36D33">
        <w:rPr>
          <w:b/>
          <w:bCs/>
          <w:i/>
          <w:iCs/>
        </w:rPr>
        <w:t xml:space="preserve">Налоговые доходы </w:t>
      </w:r>
      <w:r w:rsidRPr="00D36D33">
        <w:t>– налоги, уплачиваемые в бюджет гражданами, организациями, органами государственной власти, органами местного самоуправления. Налоги бывают федеральными, региональными и местными.</w:t>
      </w:r>
    </w:p>
    <w:p w:rsidR="00D36D33" w:rsidRPr="00D36D33" w:rsidRDefault="00D36D33" w:rsidP="00D36D33">
      <w:r w:rsidRPr="00D36D33">
        <w:rPr>
          <w:b/>
          <w:bCs/>
          <w:i/>
          <w:iCs/>
        </w:rPr>
        <w:t xml:space="preserve">Неналоговые доходы – </w:t>
      </w:r>
      <w:r w:rsidRPr="00D36D33">
        <w:t xml:space="preserve">доходы  от </w:t>
      </w:r>
      <w:proofErr w:type="gramStart"/>
      <w:r w:rsidRPr="00D36D33">
        <w:t>-и</w:t>
      </w:r>
      <w:proofErr w:type="gramEnd"/>
      <w:r w:rsidRPr="00D36D33">
        <w:t>спользования и реализации имущества, находящегося в муниципальной собственности;</w:t>
      </w:r>
    </w:p>
    <w:p w:rsidR="00D36D33" w:rsidRPr="00D36D33" w:rsidRDefault="00D36D33" w:rsidP="00D36D33">
      <w:r w:rsidRPr="00D36D33">
        <w:tab/>
        <w:t>штрафные санкции;</w:t>
      </w:r>
    </w:p>
    <w:p w:rsidR="00D36D33" w:rsidRPr="00D36D33" w:rsidRDefault="00D36D33" w:rsidP="00D36D33">
      <w:r w:rsidRPr="00D36D33">
        <w:tab/>
        <w:t>доходы от оказания платных услуг (работ) и компенсации затрат бюджета.</w:t>
      </w:r>
    </w:p>
    <w:p w:rsidR="00D36D33" w:rsidRPr="00D36D33" w:rsidRDefault="00D36D33" w:rsidP="00D36D33">
      <w:proofErr w:type="spellStart"/>
      <w:r w:rsidRPr="00D36D33">
        <w:rPr>
          <w:b/>
          <w:bCs/>
          <w:i/>
          <w:iCs/>
        </w:rPr>
        <w:t>Профицит</w:t>
      </w:r>
      <w:proofErr w:type="spellEnd"/>
      <w:r w:rsidRPr="00D36D33">
        <w:rPr>
          <w:b/>
          <w:bCs/>
          <w:i/>
          <w:iCs/>
        </w:rPr>
        <w:t xml:space="preserve"> бюджета </w:t>
      </w:r>
      <w:r w:rsidRPr="00D36D33">
        <w:t>- сумма, на которую</w:t>
      </w:r>
    </w:p>
    <w:p w:rsidR="00D36D33" w:rsidRDefault="00D36D33" w:rsidP="00D36D33">
      <w:r w:rsidRPr="00D36D33">
        <w:t>доходы бюджета превышают расходы бюджета в определенный период.</w:t>
      </w:r>
    </w:p>
    <w:p w:rsidR="00D36D33" w:rsidRDefault="00D36D33" w:rsidP="00D36D33"/>
    <w:p w:rsidR="00D36D33" w:rsidRDefault="00D36D33" w:rsidP="00D36D33"/>
    <w:p w:rsidR="00D36D33" w:rsidRDefault="00D36D33" w:rsidP="00D36D33"/>
    <w:p w:rsidR="00D36D33" w:rsidRDefault="00D36D33" w:rsidP="00D36D33"/>
    <w:p w:rsidR="00D36D33" w:rsidRDefault="00D36D33" w:rsidP="00D36D33"/>
    <w:p w:rsidR="00D36D33" w:rsidRPr="00D36D33" w:rsidRDefault="00D36D33" w:rsidP="00D36D33">
      <w:r w:rsidRPr="00D36D33">
        <w:rPr>
          <w:b/>
          <w:bCs/>
          <w:i/>
          <w:iCs/>
        </w:rPr>
        <w:lastRenderedPageBreak/>
        <w:t xml:space="preserve">Расходы бюджета </w:t>
      </w:r>
      <w:r w:rsidRPr="00D36D33">
        <w:t>- денежные средства, выплачиваемые из бюджета в целях обеспечения задач и функций государства и местного самоуправления.</w:t>
      </w:r>
    </w:p>
    <w:p w:rsidR="00D36D33" w:rsidRPr="00D36D33" w:rsidRDefault="00D36D33" w:rsidP="00D36D33">
      <w:r w:rsidRPr="00D36D33">
        <w:rPr>
          <w:b/>
          <w:bCs/>
          <w:i/>
          <w:iCs/>
        </w:rPr>
        <w:t>Субвенции</w:t>
      </w:r>
      <w:r w:rsidRPr="00D36D33">
        <w:t xml:space="preserve"> – средства, предоставляемые из вышестоящего бюджета нижестоящему бюджету  в целях финансирования расходов, возникших при выполнении отдельных полномочий, переданных на осуществление органам местного самоуправления.</w:t>
      </w:r>
    </w:p>
    <w:p w:rsidR="00D36D33" w:rsidRPr="00D36D33" w:rsidRDefault="00D36D33" w:rsidP="00D36D33">
      <w:r w:rsidRPr="00D36D33">
        <w:rPr>
          <w:b/>
          <w:bCs/>
          <w:i/>
          <w:iCs/>
        </w:rPr>
        <w:t>Субсидии</w:t>
      </w:r>
      <w:r w:rsidRPr="00D36D33">
        <w:t xml:space="preserve"> – средства, предоставляемые из бюджета одного уровня бюджету другого уровня на </w:t>
      </w:r>
      <w:proofErr w:type="spellStart"/>
      <w:r w:rsidRPr="00D36D33">
        <w:t>софинансирование</w:t>
      </w:r>
      <w:proofErr w:type="spellEnd"/>
      <w:r w:rsidRPr="00D36D33">
        <w:t xml:space="preserve"> расходных обязательств, возникающих при выполнении полномочий органов государственной власти и местного самоуправления. </w:t>
      </w:r>
    </w:p>
    <w:p w:rsidR="00D36D33" w:rsidRDefault="00D36D33" w:rsidP="00D36D33"/>
    <w:p w:rsidR="00D36D33" w:rsidRDefault="00D36D33" w:rsidP="00D36D33"/>
    <w:p w:rsidR="00D36D33" w:rsidRPr="00D36D33" w:rsidRDefault="00D36D33" w:rsidP="00D36D33">
      <w:r w:rsidRPr="00D36D33">
        <w:rPr>
          <w:b/>
          <w:bCs/>
        </w:rPr>
        <w:t xml:space="preserve">Бюджетная система Российской Федерации </w:t>
      </w:r>
      <w:r w:rsidRPr="00D36D33">
        <w:t>– это совокупность трех уровней бюджетов, основанная на экономических отношениях и государственном устройстве Российской Федерации, регулируемая законодательством РФ</w:t>
      </w:r>
    </w:p>
    <w:p w:rsidR="00D36D33" w:rsidRPr="00D36D33" w:rsidRDefault="00D36D33" w:rsidP="00D36D33">
      <w:r w:rsidRPr="00D36D33">
        <w:rPr>
          <w:b/>
          <w:bCs/>
        </w:rPr>
        <w:t xml:space="preserve">Финансовые органы </w:t>
      </w:r>
      <w:r w:rsidRPr="00D36D33">
        <w:t xml:space="preserve">– Министерство финансов Российской Федерации, </w:t>
      </w:r>
    </w:p>
    <w:p w:rsidR="00D36D33" w:rsidRPr="00D36D33" w:rsidRDefault="00D36D33" w:rsidP="00D36D33">
      <w:r w:rsidRPr="00D36D33">
        <w:t xml:space="preserve">органы исполнительной власти субъектов Российской Федерации, осуществляющие составление и организацию исполнения бюджетов субъектов Российской Федерации (финансовые органы субъектов Российской Федерации), </w:t>
      </w:r>
    </w:p>
    <w:p w:rsidR="00D36D33" w:rsidRPr="00D36D33" w:rsidRDefault="00D36D33" w:rsidP="00D36D33">
      <w:r w:rsidRPr="00D36D33">
        <w:t>органы (должностные лица) местных администраций муниципальных образований, осуществляющие составление и организацию исполнения местных бюджетов (финансовые органы муниципальных образований)</w:t>
      </w:r>
    </w:p>
    <w:p w:rsidR="00D36D33" w:rsidRPr="00D36D33" w:rsidRDefault="00D36D33" w:rsidP="00D36D33">
      <w:r w:rsidRPr="00D36D33">
        <w:rPr>
          <w:b/>
          <w:bCs/>
        </w:rPr>
        <w:t xml:space="preserve">Сводная бюджетная роспись </w:t>
      </w:r>
      <w:r w:rsidRPr="00D36D33">
        <w:t>– документ, который составляется и ведется финансовым органом в соответствии с Бюджетным Кодексом в целях организации исполнения бюджета по расходам бюджета и источникам финансирования дефицита бюджета</w:t>
      </w:r>
    </w:p>
    <w:p w:rsidR="00D36D33" w:rsidRPr="00D36D33" w:rsidRDefault="00D36D33" w:rsidP="00D36D33">
      <w:r w:rsidRPr="00D36D33">
        <w:rPr>
          <w:b/>
          <w:bCs/>
        </w:rPr>
        <w:t xml:space="preserve">Бюджетные ассигнования </w:t>
      </w:r>
      <w:r w:rsidRPr="00D36D33">
        <w:t>– предельный объем денежных средств, предусмотренных в соответствующем финансовом году для исполнения бюджетных обязательств</w:t>
      </w:r>
    </w:p>
    <w:p w:rsidR="00D36D33" w:rsidRPr="00D36D33" w:rsidRDefault="00D36D33" w:rsidP="00D36D33">
      <w:r w:rsidRPr="00D36D33">
        <w:rPr>
          <w:b/>
          <w:bCs/>
        </w:rPr>
        <w:t xml:space="preserve">Бюджетные обязательства </w:t>
      </w:r>
      <w:r w:rsidRPr="00D36D33">
        <w:t xml:space="preserve">– расходные обязательства, подлежащие исполнению в соответствующем финансовом году </w:t>
      </w:r>
    </w:p>
    <w:p w:rsidR="00D36D33" w:rsidRDefault="00D36D33" w:rsidP="00D36D33"/>
    <w:p w:rsidR="00D36D33" w:rsidRDefault="00D36D33" w:rsidP="00D36D33"/>
    <w:p w:rsidR="00D36D33" w:rsidRPr="00D36D33" w:rsidRDefault="00D36D33" w:rsidP="00D36D33">
      <w:r w:rsidRPr="00D36D33">
        <w:rPr>
          <w:b/>
          <w:bCs/>
        </w:rPr>
        <w:t xml:space="preserve">Межбюджетные трансферты </w:t>
      </w:r>
      <w:r w:rsidRPr="00D36D33">
        <w:t xml:space="preserve">– денежные средства, перечисляемые из одного бюджета бюджетной системы Российской Федерации другому </w:t>
      </w:r>
    </w:p>
    <w:p w:rsidR="00D36D33" w:rsidRDefault="00D36D33" w:rsidP="00D36D33"/>
    <w:p w:rsidR="00D36D33" w:rsidRDefault="00D36D33" w:rsidP="00D36D33"/>
    <w:p w:rsidR="00D36D33" w:rsidRDefault="00D36D33" w:rsidP="00D36D33"/>
    <w:p w:rsidR="00D36D33" w:rsidRDefault="00D36D33" w:rsidP="00D36D33"/>
    <w:p w:rsidR="00D36D33" w:rsidRDefault="00D36D33" w:rsidP="00D36D33"/>
    <w:p w:rsidR="00D36D33" w:rsidRDefault="00D36D33" w:rsidP="00D36D33">
      <w:pPr>
        <w:rPr>
          <w:b/>
          <w:bCs/>
        </w:rPr>
      </w:pPr>
      <w:r w:rsidRPr="00D36D33">
        <w:rPr>
          <w:b/>
          <w:bCs/>
        </w:rPr>
        <w:t>Основные задачи налоговой, бюджетной и долговой политики  на 2021 - 2023 годы</w:t>
      </w:r>
    </w:p>
    <w:p w:rsidR="00000000" w:rsidRPr="00D36D33" w:rsidRDefault="007A1BC4" w:rsidP="00D36D33">
      <w:pPr>
        <w:numPr>
          <w:ilvl w:val="0"/>
          <w:numId w:val="2"/>
        </w:numPr>
      </w:pPr>
      <w:r w:rsidRPr="00D36D33">
        <w:rPr>
          <w:i/>
          <w:iCs/>
        </w:rPr>
        <w:t>Реализация майских Указов Президента Российской Федерации</w:t>
      </w:r>
    </w:p>
    <w:p w:rsidR="00000000" w:rsidRPr="00D36D33" w:rsidRDefault="007A1BC4" w:rsidP="00D36D33">
      <w:pPr>
        <w:numPr>
          <w:ilvl w:val="0"/>
          <w:numId w:val="2"/>
        </w:numPr>
      </w:pPr>
      <w:r w:rsidRPr="00D36D33">
        <w:rPr>
          <w:i/>
          <w:iCs/>
        </w:rPr>
        <w:t>Наращивание налогового потенциала и стимулирование инвестиционной активности</w:t>
      </w:r>
    </w:p>
    <w:p w:rsidR="00000000" w:rsidRPr="00D36D33" w:rsidRDefault="007A1BC4" w:rsidP="00D36D33">
      <w:pPr>
        <w:numPr>
          <w:ilvl w:val="0"/>
          <w:numId w:val="2"/>
        </w:numPr>
      </w:pPr>
      <w:r w:rsidRPr="00D36D33">
        <w:rPr>
          <w:i/>
          <w:iCs/>
        </w:rPr>
        <w:t>Совершенствование методов налогового администрирования</w:t>
      </w:r>
    </w:p>
    <w:p w:rsidR="00000000" w:rsidRPr="00D36D33" w:rsidRDefault="007A1BC4" w:rsidP="00D36D33">
      <w:pPr>
        <w:numPr>
          <w:ilvl w:val="0"/>
          <w:numId w:val="2"/>
        </w:numPr>
      </w:pPr>
      <w:r w:rsidRPr="00D36D33">
        <w:rPr>
          <w:i/>
          <w:iCs/>
        </w:rPr>
        <w:t>Усиление межведомственного взаимодействия органов исполнительной власти по мобилизации имеющихся резервов и повышению собираемости платежей</w:t>
      </w:r>
    </w:p>
    <w:p w:rsidR="00000000" w:rsidRPr="00D36D33" w:rsidRDefault="007A1BC4" w:rsidP="00D36D33">
      <w:pPr>
        <w:numPr>
          <w:ilvl w:val="0"/>
          <w:numId w:val="2"/>
        </w:numPr>
      </w:pPr>
      <w:r w:rsidRPr="00D36D33">
        <w:rPr>
          <w:i/>
          <w:iCs/>
        </w:rPr>
        <w:t>Формирование гибкой и комплексной системы управления бюджет</w:t>
      </w:r>
      <w:r w:rsidRPr="00D36D33">
        <w:rPr>
          <w:i/>
          <w:iCs/>
        </w:rPr>
        <w:t>ными расходами</w:t>
      </w:r>
    </w:p>
    <w:p w:rsidR="00000000" w:rsidRPr="00D36D33" w:rsidRDefault="007A1BC4" w:rsidP="00D36D33">
      <w:pPr>
        <w:numPr>
          <w:ilvl w:val="0"/>
          <w:numId w:val="2"/>
        </w:numPr>
      </w:pPr>
      <w:r w:rsidRPr="00D36D33">
        <w:rPr>
          <w:i/>
          <w:iCs/>
        </w:rPr>
        <w:t>Сохранение достигнутых в 2018 году индикаторов повышения оплаты труда</w:t>
      </w:r>
    </w:p>
    <w:p w:rsidR="00000000" w:rsidRPr="00D36D33" w:rsidRDefault="007A1BC4" w:rsidP="00D36D33">
      <w:pPr>
        <w:numPr>
          <w:ilvl w:val="0"/>
          <w:numId w:val="2"/>
        </w:numPr>
      </w:pPr>
      <w:r w:rsidRPr="00D36D33">
        <w:rPr>
          <w:i/>
          <w:iCs/>
        </w:rPr>
        <w:t xml:space="preserve">Повышение эффективности предоставления мер социальной поддержки с учетом критериев </w:t>
      </w:r>
      <w:proofErr w:type="spellStart"/>
      <w:r w:rsidRPr="00D36D33">
        <w:rPr>
          <w:i/>
          <w:iCs/>
        </w:rPr>
        <w:t>адресности</w:t>
      </w:r>
      <w:proofErr w:type="spellEnd"/>
      <w:r w:rsidRPr="00D36D33">
        <w:rPr>
          <w:i/>
          <w:iCs/>
        </w:rPr>
        <w:t xml:space="preserve"> и нуждаемости ее получателей</w:t>
      </w:r>
    </w:p>
    <w:p w:rsidR="00D36D33" w:rsidRDefault="00D36D33" w:rsidP="00D36D33"/>
    <w:p w:rsidR="00D36D33" w:rsidRPr="00D36D33" w:rsidRDefault="00D36D33" w:rsidP="00D36D33">
      <w:r w:rsidRPr="00D36D33">
        <w:rPr>
          <w:b/>
          <w:bCs/>
          <w:i/>
          <w:iCs/>
        </w:rPr>
        <w:t xml:space="preserve">Бюджетный процесс – ежегодное формирование и исполнение бюджета </w:t>
      </w:r>
    </w:p>
    <w:p w:rsidR="00D36D33" w:rsidRDefault="00D36D33" w:rsidP="00D36D33"/>
    <w:p w:rsidR="00D36D33" w:rsidRPr="00D36D33" w:rsidRDefault="00D36D33" w:rsidP="00D36D33">
      <w:r w:rsidRPr="00D36D33">
        <w:t xml:space="preserve">Составление проекта бюджета очередного года (органы исполнительной власти) </w:t>
      </w:r>
    </w:p>
    <w:p w:rsidR="00D36D33" w:rsidRPr="00D36D33" w:rsidRDefault="00D36D33" w:rsidP="00D36D33">
      <w:r w:rsidRPr="00D36D33">
        <w:t xml:space="preserve">Рассмотрение проекта бюджета очередного года (законодательные, представительные органы власти) </w:t>
      </w:r>
    </w:p>
    <w:p w:rsidR="00D36D33" w:rsidRPr="00D36D33" w:rsidRDefault="00D36D33" w:rsidP="00D36D33">
      <w:r w:rsidRPr="00D36D33">
        <w:t xml:space="preserve">Утверждение бюджета очередного года (законодательные, представительные органы власти) </w:t>
      </w:r>
    </w:p>
    <w:p w:rsidR="00D36D33" w:rsidRPr="00D36D33" w:rsidRDefault="00D36D33" w:rsidP="00D36D33">
      <w:r w:rsidRPr="00D36D33">
        <w:t xml:space="preserve">Исполнение бюджета в текущем году (органы исполнительной власти; местная администрация, финансовые органы) </w:t>
      </w:r>
    </w:p>
    <w:p w:rsidR="00D36D33" w:rsidRPr="00D36D33" w:rsidRDefault="00D36D33" w:rsidP="00D36D33">
      <w:r w:rsidRPr="00D36D33">
        <w:t xml:space="preserve">Формирование отчета об исполнении бюджета предыдущего года (органы исполнительной власти) </w:t>
      </w:r>
    </w:p>
    <w:p w:rsidR="00D36D33" w:rsidRPr="00D36D33" w:rsidRDefault="00D36D33" w:rsidP="00D36D33">
      <w:r w:rsidRPr="00D36D33">
        <w:t xml:space="preserve">Утверждение отчета об исполнении бюджета предыдущего года (законодательные, представительные органы власти) </w:t>
      </w:r>
    </w:p>
    <w:p w:rsidR="00D36D33" w:rsidRDefault="00D36D33" w:rsidP="00D36D33"/>
    <w:p w:rsidR="00D36D33" w:rsidRPr="00D36D33" w:rsidRDefault="00D36D33" w:rsidP="00D36D33">
      <w:proofErr w:type="gramStart"/>
      <w:r w:rsidRPr="00D36D33">
        <w:t>В основу бюджетной политики за 2018 – 2022 годы  положены стратегические цели развития поселения, сформулированные в соответствии с основными положениями Бюджетного послания Президента Российской Федерации «О бюджетной политике в 2015-2017 годах», указами Президента Российской Федерации от 7 мая 2012 года, на основе прогноза социально-экономического развития Белгородской области на 2018 -2021 годы основные задачи которой направлены на долгосрочную сбалансированность и устойчивость бюджетной</w:t>
      </w:r>
      <w:proofErr w:type="gramEnd"/>
      <w:r w:rsidRPr="00D36D33">
        <w:t xml:space="preserve"> системы,  решение проблем повышения эффективности и конкурентоспособности экономики района, достижение конкретных результатов, улучшение условий жизни человека,  адресное решение  социальных проблем,  повышение качества государственных и муниципальных услуг, улучшение инвестиционного климата, обеспечение долгосрочного устойчивого и инновационного развития.</w:t>
      </w:r>
    </w:p>
    <w:p w:rsidR="00D36D33" w:rsidRDefault="00D36D33" w:rsidP="00D36D33"/>
    <w:p w:rsidR="00D36D33" w:rsidRDefault="00D36D33" w:rsidP="00D36D33"/>
    <w:p w:rsidR="00D36D33" w:rsidRPr="00D36D33" w:rsidRDefault="00D36D33" w:rsidP="00D36D33">
      <w:r w:rsidRPr="00D36D33">
        <w:rPr>
          <w:b/>
          <w:bCs/>
        </w:rPr>
        <w:t xml:space="preserve">Расходы бюджета </w:t>
      </w:r>
      <w:r w:rsidRPr="00D36D33">
        <w:t>– выплачиваемые из бюджета денежные средства.</w:t>
      </w:r>
    </w:p>
    <w:p w:rsidR="00D36D33" w:rsidRPr="00D36D33" w:rsidRDefault="00D36D33" w:rsidP="00D36D33">
      <w:r w:rsidRPr="00D36D33">
        <w:rPr>
          <w:b/>
          <w:bCs/>
        </w:rPr>
        <w:t xml:space="preserve">Формирование расходов </w:t>
      </w:r>
      <w:r w:rsidRPr="00D36D33">
        <w:t xml:space="preserve">осуществляется в соответствии с расходными обязательствами, обусловленными установленным законодательством разграничением полномочий, исполнение которых должно происходить в очередном финансовом году за счет средств соответствующих бюджетов. </w:t>
      </w:r>
    </w:p>
    <w:p w:rsidR="00D36D33" w:rsidRPr="00D36D33" w:rsidRDefault="00D36D33" w:rsidP="00D36D33">
      <w:r w:rsidRPr="00D36D33">
        <w:rPr>
          <w:b/>
          <w:bCs/>
        </w:rPr>
        <w:t>Принципы формирования расходов бюджета:</w:t>
      </w:r>
    </w:p>
    <w:p w:rsidR="00000000" w:rsidRPr="00D36D33" w:rsidRDefault="007A1BC4" w:rsidP="00D36D33">
      <w:pPr>
        <w:numPr>
          <w:ilvl w:val="0"/>
          <w:numId w:val="3"/>
        </w:numPr>
      </w:pPr>
      <w:r w:rsidRPr="00D36D33">
        <w:t>по разделам;</w:t>
      </w:r>
    </w:p>
    <w:p w:rsidR="00000000" w:rsidRPr="00D36D33" w:rsidRDefault="007A1BC4" w:rsidP="00D36D33">
      <w:pPr>
        <w:numPr>
          <w:ilvl w:val="0"/>
          <w:numId w:val="3"/>
        </w:numPr>
      </w:pPr>
      <w:r w:rsidRPr="00D36D33">
        <w:t>по ведомствам;</w:t>
      </w:r>
    </w:p>
    <w:p w:rsidR="00D36D33" w:rsidRDefault="007A1BC4" w:rsidP="00D36D33">
      <w:r>
        <w:t xml:space="preserve">        *     </w:t>
      </w:r>
      <w:r w:rsidR="00D36D33" w:rsidRPr="00D36D33">
        <w:t>по муниципальным программам</w:t>
      </w:r>
    </w:p>
    <w:p w:rsidR="007A1BC4" w:rsidRDefault="007A1BC4" w:rsidP="00D36D33"/>
    <w:p w:rsidR="007A1BC4" w:rsidRDefault="007A1BC4" w:rsidP="007A1BC4">
      <w:r w:rsidRPr="007A1BC4">
        <w:t xml:space="preserve">Бюджет Большанского сельского поселения   сформирован в программной классификации расходов на основе утвержденного постановления   </w:t>
      </w:r>
    </w:p>
    <w:p w:rsidR="007A1BC4" w:rsidRPr="007A1BC4" w:rsidRDefault="007A1BC4" w:rsidP="007A1BC4">
      <w:r w:rsidRPr="007A1BC4">
        <w:t>Преимуществом программного бюджета является распределение расходов не по ведомственному принципу, а по программам. Муниципальная программа имеет цель, задачи и показатели эффективности, которые отражают степень их достижения (решения), то есть действия и бюджетные средства направлены на достижение заданного результата.</w:t>
      </w:r>
    </w:p>
    <w:p w:rsidR="007A1BC4" w:rsidRPr="007A1BC4" w:rsidRDefault="007A1BC4" w:rsidP="007A1BC4">
      <w:r w:rsidRPr="007A1BC4">
        <w:t xml:space="preserve">При этом значение показателей является индикатором по данному направлению деятельности и сигнализирует о плохом или хорошем результате, необходимости принятия новых решений. </w:t>
      </w:r>
    </w:p>
    <w:p w:rsidR="007A1BC4" w:rsidRDefault="007A1BC4" w:rsidP="007A1BC4"/>
    <w:p w:rsidR="007A1BC4" w:rsidRPr="007A1BC4" w:rsidRDefault="007A1BC4" w:rsidP="007A1BC4">
      <w:r w:rsidRPr="007A1BC4">
        <w:rPr>
          <w:b/>
          <w:bCs/>
          <w:i/>
          <w:iCs/>
        </w:rPr>
        <w:t xml:space="preserve">Расходы  бюджета Большанского сельского поселения на жилищно-коммунальное хозяйство </w:t>
      </w:r>
    </w:p>
    <w:p w:rsidR="007A1BC4" w:rsidRPr="007A1BC4" w:rsidRDefault="007A1BC4" w:rsidP="007A1BC4">
      <w:r w:rsidRPr="007A1BC4">
        <w:rPr>
          <w:bCs/>
        </w:rPr>
        <w:t>Основной целью реализации жилищно-коммунальной политики является создание условий для комплексного развития жилищной сферы, повышение доступности жилья и обеспечения качественными жилищно-коммунальными услугами населения района.</w:t>
      </w:r>
    </w:p>
    <w:p w:rsidR="007A1BC4" w:rsidRPr="007A1BC4" w:rsidRDefault="007A1BC4" w:rsidP="007A1BC4">
      <w:r w:rsidRPr="007A1BC4">
        <w:rPr>
          <w:bCs/>
        </w:rPr>
        <w:t xml:space="preserve">     Жилищная политика  направлена на создание условий для обеспечения всех категорий населения доступным, качественным и благоустроенным жильем. В районе разработаны и реализуются мероприятия, направленные на создание оптимальных условий для развития жилищного строительства, и в первую очередь для строительства индивидуального жилья, которое определено как приоритетное. </w:t>
      </w:r>
    </w:p>
    <w:p w:rsidR="007A1BC4" w:rsidRPr="007A1BC4" w:rsidRDefault="007A1BC4" w:rsidP="007A1BC4"/>
    <w:p w:rsidR="007A1BC4" w:rsidRDefault="007A1BC4" w:rsidP="00D36D33"/>
    <w:p w:rsidR="00D36D33" w:rsidRDefault="00D36D33" w:rsidP="00D36D33"/>
    <w:p w:rsidR="00D36D33" w:rsidRPr="00D36D33" w:rsidRDefault="00D36D33" w:rsidP="00D36D33"/>
    <w:p w:rsidR="00D36D33" w:rsidRPr="00D36D33" w:rsidRDefault="00D36D33" w:rsidP="00D36D33"/>
    <w:p w:rsidR="00D36D33" w:rsidRPr="00D36D33" w:rsidRDefault="00D36D33" w:rsidP="00D36D33"/>
    <w:p w:rsidR="00D36D33" w:rsidRDefault="00D36D33"/>
    <w:p w:rsidR="00D36D33" w:rsidRDefault="00D36D33"/>
    <w:p w:rsidR="00D36D33" w:rsidRDefault="00D36D33"/>
    <w:p w:rsidR="00D36D33" w:rsidRDefault="00D36D33"/>
    <w:p w:rsidR="00D36D33" w:rsidRDefault="00D36D33"/>
    <w:p w:rsidR="00D36D33" w:rsidRDefault="00D36D33"/>
    <w:p w:rsidR="00D36D33" w:rsidRDefault="00D36D33"/>
    <w:p w:rsidR="00D36D33" w:rsidRDefault="00D36D33"/>
    <w:p w:rsidR="00D36D33" w:rsidRDefault="00D36D33"/>
    <w:p w:rsidR="00D36D33" w:rsidRDefault="00D36D33"/>
    <w:p w:rsidR="00D36D33" w:rsidRDefault="00D36D33"/>
    <w:p w:rsidR="00D36D33" w:rsidRDefault="00D36D33"/>
    <w:p w:rsidR="00D36D33" w:rsidRDefault="00D36D33"/>
    <w:p w:rsidR="00D36D33" w:rsidRDefault="00D36D33"/>
    <w:p w:rsidR="00D36D33" w:rsidRDefault="00D36D33"/>
    <w:p w:rsidR="00D36D33" w:rsidRDefault="00D36D33"/>
    <w:p w:rsidR="00D36D33" w:rsidRDefault="00D36D33"/>
    <w:p w:rsidR="00D36D33" w:rsidRDefault="00D36D33"/>
    <w:p w:rsidR="00D36D33" w:rsidRDefault="00D36D33"/>
    <w:p w:rsidR="00D36D33" w:rsidRDefault="00D36D33"/>
    <w:p w:rsidR="00D36D33" w:rsidRDefault="00D36D33"/>
    <w:p w:rsidR="00D36D33" w:rsidRDefault="00D36D33"/>
    <w:p w:rsidR="00D36D33" w:rsidRDefault="00D36D33"/>
    <w:p w:rsidR="00D36D33" w:rsidRDefault="00D36D33"/>
    <w:p w:rsidR="00D36D33" w:rsidRDefault="00D36D33"/>
    <w:p w:rsidR="00D36D33" w:rsidRDefault="00D36D33"/>
    <w:p w:rsidR="00D36D33" w:rsidRDefault="00D36D33"/>
    <w:p w:rsidR="00D36D33" w:rsidRDefault="00D36D33"/>
    <w:p w:rsidR="00D36D33" w:rsidRDefault="00D36D33"/>
    <w:p w:rsidR="00D36D33" w:rsidRDefault="00D36D33"/>
    <w:p w:rsidR="00D36D33" w:rsidRDefault="00D36D33"/>
    <w:p w:rsidR="00D36D33" w:rsidRDefault="00D36D33"/>
    <w:sectPr w:rsidR="00D36D33" w:rsidSect="001827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90DA7"/>
    <w:multiLevelType w:val="hybridMultilevel"/>
    <w:tmpl w:val="C532A11A"/>
    <w:lvl w:ilvl="0" w:tplc="E286C49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D81D8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AA82C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120B1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38171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5EE835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90537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03E471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3460F1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3E56658"/>
    <w:multiLevelType w:val="hybridMultilevel"/>
    <w:tmpl w:val="FD4E25CC"/>
    <w:lvl w:ilvl="0" w:tplc="8A3CC06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2C8AD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610A85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4EE43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F6AEC7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C627D4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1AFAD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9EF8B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34B6A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57B620F"/>
    <w:multiLevelType w:val="hybridMultilevel"/>
    <w:tmpl w:val="F2A4FD3C"/>
    <w:lvl w:ilvl="0" w:tplc="9C5278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D16171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D05AC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26E6C1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6ACDD6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F243D7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D98D66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5AC143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B48A61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oNotDisplayPageBoundaries/>
  <w:proofState w:spelling="clean" w:grammar="clean"/>
  <w:defaultTabStop w:val="708"/>
  <w:characterSpacingControl w:val="doNotCompress"/>
  <w:compat/>
  <w:rsids>
    <w:rsidRoot w:val="00D36D33"/>
    <w:rsid w:val="001827DB"/>
    <w:rsid w:val="007A1BC4"/>
    <w:rsid w:val="00D36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7D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6D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699128">
          <w:marLeft w:val="446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4944">
          <w:marLeft w:val="446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1132">
          <w:marLeft w:val="446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6685">
          <w:marLeft w:val="446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7216">
          <w:marLeft w:val="446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0133">
          <w:marLeft w:val="446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51993">
          <w:marLeft w:val="446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8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0728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117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5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1380</Words>
  <Characters>7866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2022-04-22T10:31:00Z</dcterms:created>
  <dcterms:modified xsi:type="dcterms:W3CDTF">2022-04-22T10:46:00Z</dcterms:modified>
</cp:coreProperties>
</file>